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职工食堂食材采购询价的公告</w:t>
      </w:r>
    </w:p>
    <w:p>
      <w:pPr>
        <w:rPr>
          <w:rFonts w:ascii="仿宋_GB2312" w:eastAsia="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微软雅黑" w:hAnsi="微软雅黑" w:eastAsia="微软雅黑" w:cs="微软雅黑"/>
          <w:i w:val="0"/>
          <w:caps w:val="0"/>
          <w:color w:val="404040"/>
          <w:spacing w:val="0"/>
          <w:sz w:val="21"/>
          <w:szCs w:val="21"/>
        </w:rPr>
      </w:pPr>
      <w:r>
        <w:rPr>
          <w:rFonts w:hint="eastAsia" w:ascii="方正仿宋_GBK" w:hAnsi="方正仿宋_GBK" w:eastAsia="方正仿宋_GBK" w:cs="方正仿宋_GBK"/>
          <w:sz w:val="32"/>
          <w:szCs w:val="32"/>
        </w:rPr>
        <w:t>为规范公司职工食堂食</w:t>
      </w:r>
      <w:r>
        <w:rPr>
          <w:rFonts w:hint="eastAsia" w:ascii="方正仿宋_GBK" w:hAnsi="方正仿宋_GBK" w:eastAsia="方正仿宋_GBK" w:cs="方正仿宋_GBK"/>
          <w:sz w:val="32"/>
          <w:szCs w:val="32"/>
          <w:lang w:eastAsia="zh-CN"/>
        </w:rPr>
        <w:t>材</w:t>
      </w:r>
      <w:r>
        <w:rPr>
          <w:rFonts w:hint="eastAsia" w:ascii="方正仿宋_GBK" w:hAnsi="方正仿宋_GBK" w:eastAsia="方正仿宋_GBK" w:cs="方正仿宋_GBK"/>
          <w:sz w:val="32"/>
          <w:szCs w:val="32"/>
        </w:rPr>
        <w:t>原料采购</w:t>
      </w:r>
      <w:r>
        <w:rPr>
          <w:rFonts w:hint="eastAsia" w:ascii="方正仿宋_GBK" w:eastAsia="方正仿宋_GBK"/>
          <w:kern w:val="2"/>
          <w:sz w:val="32"/>
          <w:szCs w:val="32"/>
          <w:lang w:val="en-US" w:eastAsia="zh-CN" w:bidi="ar-SA"/>
        </w:rPr>
        <w:t>，我司拟确定职工食堂食材采购供应商，现公开征询重庆数智产业园建设实业有限公司职工食堂食材采购费用。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eastAsia="方正仿宋_GBK"/>
          <w:b w:val="0"/>
          <w:bCs/>
          <w:kern w:val="2"/>
          <w:sz w:val="32"/>
          <w:szCs w:val="32"/>
          <w:lang w:val="en-US" w:eastAsia="zh-CN" w:bidi="ar-SA"/>
        </w:rPr>
      </w:pPr>
      <w:r>
        <w:rPr>
          <w:rStyle w:val="14"/>
          <w:rFonts w:ascii="方正黑体_GBK" w:hAnsi="方正黑体_GBK" w:eastAsia="方正黑体_GBK" w:cs="方正黑体_GBK"/>
          <w:b w:val="0"/>
          <w:bCs/>
          <w:i w:val="0"/>
          <w:caps w:val="0"/>
          <w:color w:val="000000"/>
          <w:spacing w:val="0"/>
          <w:sz w:val="32"/>
          <w:szCs w:val="32"/>
          <w:shd w:val="clear" w:color="auto" w:fill="FFFFFF"/>
        </w:rPr>
        <w:t>一、</w:t>
      </w:r>
      <w:r>
        <w:rPr>
          <w:rStyle w:val="14"/>
          <w:rFonts w:hint="eastAsia" w:ascii="方正黑体_GBK" w:hAnsi="方正黑体_GBK" w:eastAsia="方正黑体_GBK" w:cs="方正黑体_GBK"/>
          <w:b w:val="0"/>
          <w:bCs/>
          <w:i w:val="0"/>
          <w:caps w:val="0"/>
          <w:color w:val="000000"/>
          <w:spacing w:val="0"/>
          <w:sz w:val="32"/>
          <w:szCs w:val="32"/>
          <w:shd w:val="clear" w:color="auto" w:fill="FFFFFF"/>
        </w:rPr>
        <w:t>项目基本情况</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用餐人数</w:t>
      </w:r>
      <w:r>
        <w:rPr>
          <w:rFonts w:hint="eastAsia" w:ascii="方正仿宋_GBK" w:hAnsi="Times New Roman" w:eastAsia="方正仿宋_GBK" w:cs="Times New Roman"/>
          <w:kern w:val="2"/>
          <w:sz w:val="32"/>
          <w:szCs w:val="32"/>
          <w:lang w:val="en-US" w:eastAsia="zh-CN" w:bidi="ar-SA"/>
        </w:rPr>
        <w:t xml:space="preserve">: </w:t>
      </w:r>
      <w:r>
        <w:rPr>
          <w:rFonts w:hint="eastAsia" w:ascii="方正仿宋_GBK" w:eastAsia="方正仿宋_GBK"/>
          <w:kern w:val="2"/>
          <w:sz w:val="32"/>
          <w:szCs w:val="32"/>
          <w:lang w:val="en-US" w:eastAsia="zh-CN" w:bidi="ar-SA"/>
        </w:rPr>
        <w:t>约</w:t>
      </w:r>
      <w:r>
        <w:rPr>
          <w:rFonts w:hint="eastAsia" w:ascii="Times New Roman" w:hAnsi="Times New Roman" w:eastAsia="方正仿宋_GBK" w:cs="Times New Roman"/>
          <w:kern w:val="2"/>
          <w:sz w:val="32"/>
          <w:szCs w:val="32"/>
          <w:lang w:val="en-US" w:eastAsia="zh-CN" w:bidi="ar-SA"/>
        </w:rPr>
        <w:t>130</w:t>
      </w:r>
      <w:r>
        <w:rPr>
          <w:rFonts w:hint="eastAsia" w:ascii="方正仿宋_GBK" w:eastAsia="方正仿宋_GBK"/>
          <w:kern w:val="2"/>
          <w:sz w:val="32"/>
          <w:szCs w:val="32"/>
          <w:lang w:val="en-US" w:eastAsia="zh-CN" w:bidi="ar-SA"/>
        </w:rPr>
        <w:t>人。</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方正仿宋_GBK"/>
          <w:bCs/>
          <w:color w:val="000000" w:themeColor="text1"/>
          <w:sz w:val="32"/>
          <w:szCs w:val="32"/>
          <w:lang w:eastAsia="zh-CN"/>
          <w14:textFill>
            <w14:solidFill>
              <w14:schemeClr w14:val="tx1"/>
            </w14:solidFill>
          </w14:textFill>
        </w:rPr>
      </w:pPr>
      <w:r>
        <w:rPr>
          <w:rFonts w:hint="eastAsia" w:ascii="方正仿宋_GBK" w:eastAsia="方正仿宋_GBK"/>
          <w:kern w:val="2"/>
          <w:sz w:val="32"/>
          <w:szCs w:val="32"/>
          <w:lang w:val="en-US" w:eastAsia="zh-CN" w:bidi="ar-SA"/>
        </w:rPr>
        <w:t>配送时间：原则上为工作日上午</w:t>
      </w:r>
      <w:r>
        <w:rPr>
          <w:rFonts w:hint="eastAsia" w:ascii="Times New Roman" w:hAnsi="Times New Roman" w:eastAsia="方正仿宋_GBK" w:cs="Times New Roman"/>
          <w:kern w:val="2"/>
          <w:sz w:val="32"/>
          <w:szCs w:val="32"/>
          <w:lang w:val="en-US" w:eastAsia="zh-CN" w:bidi="ar-SA"/>
        </w:rPr>
        <w:t>8</w:t>
      </w:r>
      <w:r>
        <w:rPr>
          <w:rFonts w:hint="eastAsia" w:ascii="方正仿宋_GBK" w:eastAsia="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00</w:t>
      </w:r>
      <w:r>
        <w:rPr>
          <w:rFonts w:hint="eastAsia" w:ascii="仿宋" w:hAnsi="仿宋" w:eastAsia="仿宋" w:cs="方正仿宋_GBK"/>
          <w:bCs/>
          <w:color w:val="000000" w:themeColor="text1"/>
          <w:sz w:val="32"/>
          <w:szCs w:val="32"/>
          <w14:textFill>
            <w14:solidFill>
              <w14:schemeClr w14:val="tx1"/>
            </w14:solidFill>
          </w14:textFill>
        </w:rPr>
        <w:t>（如遇特殊情况</w:t>
      </w:r>
      <w:r>
        <w:rPr>
          <w:rFonts w:hint="eastAsia" w:ascii="仿宋" w:hAnsi="仿宋" w:eastAsia="仿宋" w:cs="方正仿宋_GBK"/>
          <w:bCs/>
          <w:color w:val="000000" w:themeColor="text1"/>
          <w:sz w:val="32"/>
          <w:szCs w:val="32"/>
          <w:lang w:eastAsia="zh-CN"/>
          <w14:textFill>
            <w14:solidFill>
              <w14:schemeClr w14:val="tx1"/>
            </w14:solidFill>
          </w14:textFill>
        </w:rPr>
        <w:t>需按我司要求配送</w:t>
      </w:r>
      <w:r>
        <w:rPr>
          <w:rFonts w:hint="eastAsia" w:ascii="仿宋" w:hAnsi="仿宋" w:eastAsia="仿宋" w:cs="方正仿宋_GBK"/>
          <w:bCs/>
          <w:color w:val="000000" w:themeColor="text1"/>
          <w:sz w:val="32"/>
          <w:szCs w:val="32"/>
          <w14:textFill>
            <w14:solidFill>
              <w14:schemeClr w14:val="tx1"/>
            </w14:solidFill>
          </w14:textFill>
        </w:rPr>
        <w:t>）</w:t>
      </w:r>
      <w:r>
        <w:rPr>
          <w:rFonts w:hint="eastAsia" w:ascii="仿宋" w:hAnsi="仿宋" w:eastAsia="仿宋" w:cs="方正仿宋_GBK"/>
          <w:bCs/>
          <w:color w:val="000000" w:themeColor="text1"/>
          <w:sz w:val="32"/>
          <w:szCs w:val="32"/>
          <w:lang w:eastAsia="zh-CN"/>
          <w14:textFill>
            <w14:solidFill>
              <w14:schemeClr w14:val="tx1"/>
            </w14:solidFill>
          </w14:textFill>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方正仿宋_GBK"/>
          <w:bCs/>
          <w:color w:val="000000" w:themeColor="text1"/>
          <w:sz w:val="32"/>
          <w:szCs w:val="32"/>
          <w:lang w:val="en-US" w:eastAsia="zh-CN"/>
          <w14:textFill>
            <w14:solidFill>
              <w14:schemeClr w14:val="tx1"/>
            </w14:solidFill>
          </w14:textFill>
        </w:rPr>
      </w:pPr>
      <w:r>
        <w:rPr>
          <w:rFonts w:hint="eastAsia" w:ascii="仿宋" w:hAnsi="仿宋" w:eastAsia="仿宋" w:cs="方正仿宋_GBK"/>
          <w:bCs/>
          <w:color w:val="000000" w:themeColor="text1"/>
          <w:sz w:val="32"/>
          <w:szCs w:val="32"/>
          <w:lang w:val="en-US" w:eastAsia="zh-CN"/>
          <w14:textFill>
            <w14:solidFill>
              <w14:schemeClr w14:val="tx1"/>
            </w14:solidFill>
          </w14:textFill>
        </w:rPr>
        <w:t>采购期间：</w:t>
      </w:r>
      <w:r>
        <w:rPr>
          <w:rFonts w:hint="eastAsia" w:ascii="Times New Roman" w:hAnsi="Times New Roman" w:eastAsia="方正仿宋_GBK" w:cs="Times New Roman"/>
          <w:kern w:val="2"/>
          <w:sz w:val="32"/>
          <w:szCs w:val="32"/>
          <w:lang w:val="en-US" w:eastAsia="zh-CN" w:bidi="ar-SA"/>
        </w:rPr>
        <w:t>2024</w:t>
      </w:r>
      <w:r>
        <w:rPr>
          <w:rFonts w:hint="eastAsia" w:ascii="仿宋" w:hAnsi="仿宋" w:eastAsia="仿宋" w:cs="方正仿宋_GBK"/>
          <w:bCs/>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kern w:val="2"/>
          <w:sz w:val="32"/>
          <w:szCs w:val="32"/>
          <w:lang w:val="en-US" w:eastAsia="zh-CN" w:bidi="ar-SA"/>
        </w:rPr>
        <w:t>3</w:t>
      </w:r>
      <w:r>
        <w:rPr>
          <w:rFonts w:hint="eastAsia" w:ascii="仿宋" w:hAnsi="仿宋" w:eastAsia="仿宋" w:cs="方正仿宋_GBK"/>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kern w:val="2"/>
          <w:sz w:val="32"/>
          <w:szCs w:val="32"/>
          <w:lang w:val="en-US" w:eastAsia="zh-CN" w:bidi="ar-SA"/>
        </w:rPr>
        <w:t>1</w:t>
      </w:r>
      <w:r>
        <w:rPr>
          <w:rFonts w:hint="eastAsia" w:ascii="仿宋" w:hAnsi="仿宋" w:eastAsia="仿宋" w:cs="方正仿宋_GBK"/>
          <w:bCs/>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kern w:val="2"/>
          <w:sz w:val="32"/>
          <w:szCs w:val="32"/>
          <w:lang w:val="en-US" w:eastAsia="zh-CN" w:bidi="ar-SA"/>
        </w:rPr>
        <w:t>2026</w:t>
      </w:r>
      <w:r>
        <w:rPr>
          <w:rFonts w:hint="eastAsia" w:ascii="仿宋" w:hAnsi="仿宋" w:eastAsia="仿宋" w:cs="方正仿宋_GBK"/>
          <w:bCs/>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kern w:val="2"/>
          <w:sz w:val="32"/>
          <w:szCs w:val="32"/>
          <w:lang w:val="en-US" w:eastAsia="zh-CN" w:bidi="ar-SA"/>
        </w:rPr>
        <w:t>2</w:t>
      </w:r>
      <w:r>
        <w:rPr>
          <w:rFonts w:hint="eastAsia" w:ascii="仿宋" w:hAnsi="仿宋" w:eastAsia="仿宋" w:cs="方正仿宋_GBK"/>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kern w:val="2"/>
          <w:sz w:val="32"/>
          <w:szCs w:val="32"/>
          <w:lang w:val="en-US" w:eastAsia="zh-CN" w:bidi="ar-SA"/>
        </w:rPr>
        <w:t>28</w:t>
      </w:r>
      <w:r>
        <w:rPr>
          <w:rFonts w:hint="eastAsia" w:ascii="仿宋" w:hAnsi="仿宋" w:eastAsia="仿宋" w:cs="方正仿宋_GBK"/>
          <w:bCs/>
          <w:color w:val="000000" w:themeColor="text1"/>
          <w:sz w:val="32"/>
          <w:szCs w:val="32"/>
          <w:lang w:val="en-US" w:eastAsia="zh-CN"/>
          <w14:textFill>
            <w14:solidFill>
              <w14:schemeClr w14:val="tx1"/>
            </w14:solidFill>
          </w14:textFill>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微软雅黑" w:hAnsi="微软雅黑" w:eastAsia="微软雅黑" w:cs="微软雅黑"/>
          <w:b w:val="0"/>
          <w:bCs/>
          <w:i w:val="0"/>
          <w:caps w:val="0"/>
          <w:color w:val="404040"/>
          <w:spacing w:val="0"/>
          <w:sz w:val="21"/>
          <w:szCs w:val="21"/>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二、报价内容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报价单位提供食材原料及配送服务，自行踏勘现场并测算配送费用，按蔬菜类、水果类、米面油类（含干副调料类、豆制品、奶制品）、鲜肉类（水产类、冻品类、家禽类）折扣进行报价，基准价参考重庆市巴南区龙洲湾新世纪超市挂牌价。报价应包含人工搬运、车辆配送费等所有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所有响应单位请在</w:t>
      </w:r>
      <w:r>
        <w:rPr>
          <w:rFonts w:hint="eastAsia" w:ascii="Times New Roman" w:hAnsi="Times New Roman" w:eastAsia="方正仿宋_GBK" w:cs="Times New Roman"/>
          <w:kern w:val="2"/>
          <w:sz w:val="32"/>
          <w:szCs w:val="32"/>
          <w:lang w:val="en-US" w:eastAsia="zh-CN" w:bidi="ar-SA"/>
        </w:rPr>
        <w:t>2024</w:t>
      </w:r>
      <w:r>
        <w:rPr>
          <w:rFonts w:hint="eastAsia" w:ascii="方正仿宋_GBK" w:eastAsia="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 1</w:t>
      </w:r>
      <w:r>
        <w:rPr>
          <w:rFonts w:hint="eastAsia" w:ascii="方正仿宋_GBK" w:eastAsia="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30</w:t>
      </w:r>
      <w:r>
        <w:rPr>
          <w:rFonts w:hint="eastAsia" w:ascii="方正仿宋_GBK" w:eastAsia="方正仿宋_GBK"/>
          <w:kern w:val="2"/>
          <w:sz w:val="32"/>
          <w:szCs w:val="32"/>
          <w:lang w:val="en-US" w:eastAsia="zh-CN" w:bidi="ar-SA"/>
        </w:rPr>
        <w:t>日上午</w:t>
      </w:r>
      <w:r>
        <w:rPr>
          <w:rFonts w:hint="eastAsia" w:ascii="Times New Roman" w:hAnsi="Times New Roman" w:eastAsia="方正仿宋_GBK" w:cs="Times New Roman"/>
          <w:kern w:val="2"/>
          <w:sz w:val="32"/>
          <w:szCs w:val="32"/>
          <w:lang w:val="en-US" w:eastAsia="zh-CN" w:bidi="ar-SA"/>
        </w:rPr>
        <w:t>10 :00</w:t>
      </w:r>
      <w:r>
        <w:rPr>
          <w:rFonts w:hint="eastAsia" w:ascii="方正仿宋_GBK" w:eastAsia="方正仿宋_GBK"/>
          <w:kern w:val="2"/>
          <w:sz w:val="32"/>
          <w:szCs w:val="32"/>
          <w:lang w:val="en-US" w:eastAsia="zh-CN" w:bidi="ar-SA"/>
        </w:rPr>
        <w:t>前将报价书（详见附件）、营业执照盖章后密封送至重庆数智产业园标准厂房公寓-重庆南投商业管理有限公司。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微软雅黑" w:hAnsi="微软雅黑" w:eastAsia="微软雅黑" w:cs="微软雅黑"/>
          <w:b w:val="0"/>
          <w:bCs/>
          <w:i w:val="0"/>
          <w:caps w:val="0"/>
          <w:color w:val="404040"/>
          <w:spacing w:val="0"/>
          <w:sz w:val="21"/>
          <w:szCs w:val="21"/>
        </w:rPr>
      </w:pPr>
      <w:r>
        <w:rPr>
          <w:rStyle w:val="14"/>
          <w:rFonts w:ascii="Calibri" w:hAnsi="Calibri" w:eastAsia="微软雅黑" w:cs="Calibri"/>
          <w:b w:val="0"/>
          <w:bCs/>
          <w:i w:val="0"/>
          <w:caps w:val="0"/>
          <w:color w:val="404040"/>
          <w:spacing w:val="0"/>
          <w:sz w:val="24"/>
          <w:szCs w:val="24"/>
        </w:rPr>
        <w:t> </w:t>
      </w:r>
      <w:r>
        <w:rPr>
          <w:rStyle w:val="14"/>
          <w:rFonts w:hint="default" w:ascii="Calibri" w:hAnsi="Calibri" w:eastAsia="微软雅黑" w:cs="Calibri"/>
          <w:b w:val="0"/>
          <w:bCs/>
          <w:i w:val="0"/>
          <w:caps w:val="0"/>
          <w:color w:val="404040"/>
          <w:spacing w:val="0"/>
          <w:sz w:val="24"/>
          <w:szCs w:val="24"/>
        </w:rPr>
        <w:t>   </w:t>
      </w:r>
      <w:r>
        <w:rPr>
          <w:rStyle w:val="14"/>
          <w:rFonts w:hint="eastAsia" w:ascii="方正黑体_GBK" w:hAnsi="方正黑体_GBK" w:eastAsia="方正黑体_GBK" w:cs="方正黑体_GBK"/>
          <w:b w:val="0"/>
          <w:bCs/>
          <w:i w:val="0"/>
          <w:caps w:val="0"/>
          <w:color w:val="000000"/>
          <w:spacing w:val="0"/>
          <w:sz w:val="32"/>
          <w:szCs w:val="32"/>
          <w:shd w:val="clear" w:color="auto" w:fill="FFFFFF"/>
        </w:rPr>
        <w:t>三、联系人及联系方式</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联系人：余老师；联系方式：</w:t>
      </w:r>
      <w:r>
        <w:rPr>
          <w:rFonts w:hint="eastAsia" w:ascii="Times New Roman" w:hAnsi="Times New Roman" w:eastAsia="方正仿宋_GBK" w:cs="Times New Roman"/>
          <w:kern w:val="2"/>
          <w:sz w:val="32"/>
          <w:szCs w:val="32"/>
          <w:lang w:val="en-US" w:eastAsia="zh-CN" w:bidi="ar-SA"/>
        </w:rPr>
        <w:t>13883179704</w:t>
      </w:r>
      <w:r>
        <w:rPr>
          <w:rFonts w:hint="eastAsia" w:ascii="方正仿宋_GBK" w:eastAsia="方正仿宋_GBK"/>
          <w:kern w:val="2"/>
          <w:sz w:val="32"/>
          <w:szCs w:val="32"/>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eastAsia="方正仿宋_GBK"/>
          <w:sz w:val="32"/>
          <w:szCs w:val="32"/>
        </w:rPr>
      </w:pPr>
      <w:r>
        <w:rPr>
          <w:rFonts w:hint="eastAsia" w:ascii="方正仿宋_GBK" w:hAnsi="方正仿宋_GBK" w:eastAsia="方正仿宋_GBK" w:cs="方正仿宋_GBK"/>
          <w:color w:val="auto"/>
          <w:sz w:val="32"/>
          <w:szCs w:val="32"/>
          <w:lang w:val="en-US" w:eastAsia="zh-CN"/>
        </w:rPr>
        <w:t>附件：</w:t>
      </w:r>
      <w:r>
        <w:rPr>
          <w:rFonts w:hint="eastAsia" w:ascii="Times New Roman" w:hAnsi="Times New Roman" w:eastAsia="方正仿宋_GBK" w:cs="Times New Roman"/>
          <w:kern w:val="2"/>
          <w:sz w:val="32"/>
          <w:szCs w:val="32"/>
          <w:lang w:val="en-US" w:eastAsia="zh-CN" w:bidi="ar-SA"/>
        </w:rPr>
        <w:t>2024</w:t>
      </w:r>
      <w:r>
        <w:rPr>
          <w:rFonts w:hint="eastAsia" w:ascii="方正仿宋_GBK" w:hAnsi="方正仿宋_GBK" w:eastAsia="方正仿宋_GBK" w:cs="方正仿宋_GBK"/>
          <w:color w:val="auto"/>
          <w:sz w:val="32"/>
          <w:szCs w:val="32"/>
          <w:lang w:val="en-US" w:eastAsia="zh-CN"/>
        </w:rPr>
        <w:t>年数智产业园职工食堂食材供应商报价明细表</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K" w:hAnsi="仿宋_GB2312" w:eastAsia="方正仿宋_GBK" w:cs="仿宋_GB2312"/>
          <w:sz w:val="32"/>
          <w:szCs w:val="32"/>
        </w:rPr>
      </w:pPr>
      <w:r>
        <w:rPr>
          <w:rFonts w:hint="eastAsia" w:ascii="Times New Roman" w:hAnsi="Times New Roman" w:eastAsia="方正仿宋_GBK" w:cs="Times New Roman"/>
          <w:kern w:val="2"/>
          <w:sz w:val="32"/>
          <w:szCs w:val="32"/>
          <w:lang w:val="en-US" w:eastAsia="zh-CN" w:bidi="ar-SA"/>
        </w:rPr>
        <w:t>2024</w:t>
      </w:r>
      <w:r>
        <w:rPr>
          <w:rFonts w:hint="eastAsia" w:ascii="方正仿宋_GBK" w:hAnsi="仿宋_GB2312" w:eastAsia="方正仿宋_GBK" w:cs="仿宋_GB2312"/>
          <w:sz w:val="32"/>
          <w:szCs w:val="32"/>
        </w:rPr>
        <w:t>年</w:t>
      </w:r>
      <w:r>
        <w:rPr>
          <w:rFonts w:hint="eastAsia" w:ascii="Times New Roman" w:hAnsi="Times New Roman" w:eastAsia="方正仿宋_GBK" w:cs="Times New Roman"/>
          <w:kern w:val="2"/>
          <w:sz w:val="32"/>
          <w:szCs w:val="32"/>
          <w:lang w:val="en-US" w:eastAsia="zh-CN" w:bidi="ar-SA"/>
        </w:rPr>
        <w:t>1</w:t>
      </w:r>
      <w:r>
        <w:rPr>
          <w:rFonts w:hint="eastAsia" w:ascii="方正仿宋_GBK" w:hAnsi="仿宋_GB2312" w:eastAsia="方正仿宋_GBK" w:cs="仿宋_GB2312"/>
          <w:sz w:val="32"/>
          <w:szCs w:val="32"/>
        </w:rPr>
        <w:t>月</w:t>
      </w:r>
      <w:r>
        <w:rPr>
          <w:rFonts w:hint="eastAsia" w:ascii="Times New Roman" w:hAnsi="Times New Roman" w:eastAsia="方正仿宋_GBK" w:cs="Times New Roman"/>
          <w:kern w:val="2"/>
          <w:sz w:val="32"/>
          <w:szCs w:val="32"/>
          <w:lang w:val="en-US" w:eastAsia="zh-CN" w:bidi="ar-SA"/>
        </w:rPr>
        <w:t>2</w:t>
      </w:r>
      <w:r>
        <w:rPr>
          <w:rFonts w:hint="eastAsia" w:eastAsia="方正仿宋_GBK" w:cs="Times New Roman"/>
          <w:kern w:val="2"/>
          <w:sz w:val="32"/>
          <w:szCs w:val="32"/>
          <w:lang w:val="en-US" w:eastAsia="zh-CN" w:bidi="ar-SA"/>
        </w:rPr>
        <w:t>6</w:t>
      </w:r>
      <w:r>
        <w:rPr>
          <w:rFonts w:hint="eastAsia" w:ascii="方正仿宋_GBK" w:hAnsi="仿宋_GB2312" w:eastAsia="方正仿宋_GBK" w:cs="仿宋_GB2312"/>
          <w:sz w:val="32"/>
          <w:szCs w:val="32"/>
        </w:rPr>
        <w:t>日</w:t>
      </w:r>
    </w:p>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p>
      <w:pP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sz w:val="32"/>
          <w:szCs w:val="32"/>
          <w:lang w:val="en-US" w:eastAsia="zh-CN"/>
        </w:rPr>
        <w:t>附件</w:t>
      </w:r>
    </w:p>
    <w:tbl>
      <w:tblPr>
        <w:tblStyle w:val="12"/>
        <w:tblpPr w:leftFromText="180" w:rightFromText="180" w:vertAnchor="text" w:horzAnchor="page" w:tblpXSpec="center" w:tblpY="1492"/>
        <w:tblOverlap w:val="never"/>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64"/>
        <w:gridCol w:w="1656"/>
        <w:gridCol w:w="1454"/>
        <w:gridCol w:w="157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1075" w:type="dxa"/>
          </w:tcPr>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center"/>
              <w:rPr>
                <w:rFonts w:hint="default" w:ascii="方正仿宋_GBK" w:hAnsi="Times New Roman" w:eastAsia="方正仿宋_GBK" w:cs="Times New Roman"/>
                <w:kern w:val="2"/>
                <w:sz w:val="28"/>
                <w:szCs w:val="28"/>
                <w:lang w:val="en-US" w:eastAsia="zh-CN" w:bidi="ar-SA"/>
              </w:rPr>
            </w:pPr>
            <w:r>
              <w:rPr>
                <w:rFonts w:hint="default" w:ascii="方正仿宋_GBK" w:hAnsi="Times New Roman" w:eastAsia="方正仿宋_GBK" w:cs="Times New Roman"/>
                <w:kern w:val="2"/>
                <w:sz w:val="28"/>
                <w:szCs w:val="28"/>
                <w:lang w:val="en-US" w:eastAsia="zh-CN" w:bidi="ar-SA"/>
              </w:rPr>
              <w:t>供应商</w:t>
            </w:r>
          </w:p>
        </w:tc>
        <w:tc>
          <w:tcPr>
            <w:tcW w:w="1764" w:type="dxa"/>
          </w:tcPr>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both"/>
              <w:rPr>
                <w:rFonts w:hint="default" w:ascii="方正仿宋_GBK" w:hAnsi="Times New Roman" w:eastAsia="方正仿宋_GBK" w:cs="Times New Roman"/>
                <w:kern w:val="2"/>
                <w:sz w:val="28"/>
                <w:szCs w:val="28"/>
                <w:lang w:val="en-US" w:eastAsia="zh-CN" w:bidi="ar-SA"/>
              </w:rPr>
            </w:pPr>
            <w:r>
              <w:rPr>
                <w:rFonts w:hint="default" w:ascii="方正仿宋_GBK" w:hAnsi="Times New Roman" w:eastAsia="方正仿宋_GBK" w:cs="Times New Roman"/>
                <w:kern w:val="2"/>
                <w:sz w:val="28"/>
                <w:szCs w:val="28"/>
                <w:lang w:val="en-US" w:eastAsia="zh-CN" w:bidi="ar-SA"/>
              </w:rPr>
              <w:t>蔬菜类</w:t>
            </w:r>
            <w:r>
              <w:rPr>
                <w:rFonts w:hint="eastAsia" w:ascii="方正仿宋_GBK" w:hAnsi="Times New Roman" w:eastAsia="方正仿宋_GBK" w:cs="Times New Roman"/>
                <w:kern w:val="2"/>
                <w:sz w:val="28"/>
                <w:szCs w:val="28"/>
                <w:lang w:val="en-US" w:eastAsia="zh-CN" w:bidi="ar-SA"/>
              </w:rPr>
              <w:t>折扣</w:t>
            </w:r>
          </w:p>
        </w:tc>
        <w:tc>
          <w:tcPr>
            <w:tcW w:w="1656" w:type="dxa"/>
          </w:tcPr>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both"/>
              <w:rPr>
                <w:rFonts w:hint="default" w:ascii="方正仿宋_GBK" w:hAnsi="Times New Roman" w:eastAsia="方正仿宋_GBK" w:cs="Times New Roman"/>
                <w:kern w:val="2"/>
                <w:sz w:val="28"/>
                <w:szCs w:val="28"/>
                <w:lang w:val="en-US" w:eastAsia="zh-CN" w:bidi="ar-SA"/>
              </w:rPr>
            </w:pPr>
          </w:p>
          <w:p>
            <w:pPr>
              <w:spacing w:line="240" w:lineRule="auto"/>
              <w:jc w:val="both"/>
              <w:rPr>
                <w:rFonts w:hint="default" w:ascii="方正仿宋_GBK" w:hAnsi="Times New Roman" w:eastAsia="方正仿宋_GBK" w:cs="Times New Roman"/>
                <w:kern w:val="2"/>
                <w:sz w:val="28"/>
                <w:szCs w:val="28"/>
                <w:lang w:val="en-US" w:eastAsia="zh-CN" w:bidi="ar-SA"/>
              </w:rPr>
            </w:pPr>
            <w:r>
              <w:rPr>
                <w:rFonts w:hint="default" w:ascii="方正仿宋_GBK" w:hAnsi="Times New Roman" w:eastAsia="方正仿宋_GBK" w:cs="Times New Roman"/>
                <w:kern w:val="2"/>
                <w:sz w:val="28"/>
                <w:szCs w:val="28"/>
                <w:lang w:val="en-US" w:eastAsia="zh-CN" w:bidi="ar-SA"/>
              </w:rPr>
              <w:t>水果类</w:t>
            </w:r>
            <w:r>
              <w:rPr>
                <w:rFonts w:hint="eastAsia" w:ascii="方正仿宋_GBK" w:hAnsi="Times New Roman" w:eastAsia="方正仿宋_GBK" w:cs="Times New Roman"/>
                <w:kern w:val="2"/>
                <w:sz w:val="28"/>
                <w:szCs w:val="28"/>
                <w:lang w:val="en-US" w:eastAsia="zh-CN" w:bidi="ar-SA"/>
              </w:rPr>
              <w:t>折扣</w:t>
            </w:r>
          </w:p>
        </w:tc>
        <w:tc>
          <w:tcPr>
            <w:tcW w:w="1454" w:type="dxa"/>
          </w:tcPr>
          <w:p>
            <w:pPr>
              <w:jc w:val="both"/>
              <w:rPr>
                <w:rFonts w:hint="default"/>
                <w:sz w:val="24"/>
                <w:szCs w:val="18"/>
                <w:vertAlign w:val="baseline"/>
                <w:lang w:val="en-US" w:eastAsia="zh-CN"/>
              </w:rPr>
            </w:pPr>
            <w:r>
              <w:rPr>
                <w:rFonts w:hint="eastAsia" w:ascii="方正仿宋_GBK" w:eastAsia="方正仿宋_GBK"/>
                <w:kern w:val="2"/>
                <w:sz w:val="28"/>
                <w:szCs w:val="28"/>
                <w:lang w:val="en-US" w:eastAsia="zh-CN" w:bidi="ar-SA"/>
              </w:rPr>
              <w:t>米面油类</w:t>
            </w:r>
            <w:r>
              <w:rPr>
                <w:rFonts w:hint="eastAsia" w:ascii="方正仿宋_GBK" w:hAnsi="Times New Roman" w:eastAsia="方正仿宋_GBK" w:cs="Times New Roman"/>
                <w:kern w:val="2"/>
                <w:sz w:val="28"/>
                <w:szCs w:val="28"/>
                <w:lang w:val="en-US" w:eastAsia="zh-CN" w:bidi="ar-SA"/>
              </w:rPr>
              <w:t>折扣</w:t>
            </w:r>
            <w:r>
              <w:rPr>
                <w:rFonts w:hint="eastAsia" w:ascii="方正仿宋_GBK" w:eastAsia="方正仿宋_GBK"/>
                <w:kern w:val="2"/>
                <w:sz w:val="28"/>
                <w:szCs w:val="28"/>
                <w:lang w:val="en-US" w:eastAsia="zh-CN" w:bidi="ar-SA"/>
              </w:rPr>
              <w:t>（含干副调料类、豆制品、奶制品）</w:t>
            </w:r>
          </w:p>
        </w:tc>
        <w:tc>
          <w:tcPr>
            <w:tcW w:w="1574" w:type="dxa"/>
          </w:tcPr>
          <w:p>
            <w:pPr>
              <w:jc w:val="center"/>
              <w:rPr>
                <w:rFonts w:hint="default"/>
                <w:sz w:val="24"/>
                <w:szCs w:val="18"/>
                <w:vertAlign w:val="baseline"/>
                <w:lang w:val="en-US" w:eastAsia="zh-CN"/>
              </w:rPr>
            </w:pPr>
            <w:r>
              <w:rPr>
                <w:rFonts w:hint="eastAsia" w:ascii="方正仿宋_GBK" w:eastAsia="方正仿宋_GBK"/>
                <w:kern w:val="2"/>
                <w:sz w:val="28"/>
                <w:szCs w:val="28"/>
                <w:lang w:val="en-US" w:eastAsia="zh-CN" w:bidi="ar-SA"/>
              </w:rPr>
              <w:t>鲜肉类</w:t>
            </w:r>
            <w:r>
              <w:rPr>
                <w:rFonts w:hint="eastAsia" w:ascii="方正仿宋_GBK" w:hAnsi="Times New Roman" w:eastAsia="方正仿宋_GBK" w:cs="Times New Roman"/>
                <w:kern w:val="2"/>
                <w:sz w:val="28"/>
                <w:szCs w:val="28"/>
                <w:lang w:val="en-US" w:eastAsia="zh-CN" w:bidi="ar-SA"/>
              </w:rPr>
              <w:t>折扣</w:t>
            </w:r>
            <w:r>
              <w:rPr>
                <w:rFonts w:hint="eastAsia" w:ascii="方正仿宋_GBK" w:eastAsia="方正仿宋_GBK"/>
                <w:kern w:val="2"/>
                <w:sz w:val="28"/>
                <w:szCs w:val="28"/>
                <w:lang w:val="en-US" w:eastAsia="zh-CN" w:bidi="ar-SA"/>
              </w:rPr>
              <w:t>（水产类、冻品类、家禽类）</w:t>
            </w:r>
          </w:p>
        </w:tc>
        <w:tc>
          <w:tcPr>
            <w:tcW w:w="1571" w:type="dxa"/>
          </w:tcPr>
          <w:p>
            <w:pPr>
              <w:jc w:val="center"/>
              <w:rPr>
                <w:rFonts w:hint="eastAsia" w:ascii="方正仿宋_GBK" w:eastAsia="方正仿宋_GBK"/>
                <w:kern w:val="2"/>
                <w:sz w:val="28"/>
                <w:szCs w:val="28"/>
                <w:lang w:val="en-US" w:eastAsia="zh-CN" w:bidi="ar-SA"/>
              </w:rPr>
            </w:pPr>
          </w:p>
          <w:p>
            <w:pPr>
              <w:jc w:val="center"/>
              <w:rPr>
                <w:rFonts w:hint="eastAsia" w:ascii="方正仿宋_GBK" w:eastAsia="方正仿宋_GBK"/>
                <w:kern w:val="2"/>
                <w:sz w:val="28"/>
                <w:szCs w:val="28"/>
                <w:lang w:val="en-US" w:eastAsia="zh-CN" w:bidi="ar-SA"/>
              </w:rPr>
            </w:pPr>
          </w:p>
          <w:p>
            <w:pPr>
              <w:jc w:val="center"/>
              <w:rPr>
                <w:rFonts w:hint="eastAsia" w:ascii="方正仿宋_GBK" w:eastAsia="方正仿宋_GBK"/>
                <w:kern w:val="2"/>
                <w:sz w:val="28"/>
                <w:szCs w:val="28"/>
                <w:lang w:val="en-US" w:eastAsia="zh-CN" w:bidi="ar-SA"/>
              </w:rPr>
            </w:pPr>
            <w:r>
              <w:rPr>
                <w:rFonts w:hint="eastAsia" w:ascii="方正仿宋_GBK" w:eastAsia="方正仿宋_GBK"/>
                <w:kern w:val="2"/>
                <w:sz w:val="28"/>
                <w:szCs w:val="28"/>
                <w:lang w:val="en-US" w:eastAsia="zh-CN" w:bidi="ar-SA"/>
              </w:rPr>
              <w:t>综合折扣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75" w:type="dxa"/>
          </w:tcPr>
          <w:p>
            <w:pPr>
              <w:rPr>
                <w:rFonts w:hint="default"/>
                <w:vertAlign w:val="baseline"/>
                <w:lang w:val="en-US" w:eastAsia="zh-CN"/>
              </w:rPr>
            </w:pPr>
          </w:p>
        </w:tc>
        <w:tc>
          <w:tcPr>
            <w:tcW w:w="1764" w:type="dxa"/>
          </w:tcPr>
          <w:p>
            <w:pPr>
              <w:rPr>
                <w:rFonts w:hint="default"/>
                <w:vertAlign w:val="baseline"/>
                <w:lang w:val="en-US" w:eastAsia="zh-CN"/>
              </w:rPr>
            </w:pPr>
          </w:p>
        </w:tc>
        <w:tc>
          <w:tcPr>
            <w:tcW w:w="1656" w:type="dxa"/>
          </w:tcPr>
          <w:p>
            <w:pPr>
              <w:rPr>
                <w:rFonts w:hint="default"/>
                <w:vertAlign w:val="baseline"/>
                <w:lang w:val="en-US" w:eastAsia="zh-CN"/>
              </w:rPr>
            </w:pPr>
          </w:p>
        </w:tc>
        <w:tc>
          <w:tcPr>
            <w:tcW w:w="1454" w:type="dxa"/>
          </w:tcPr>
          <w:p>
            <w:pPr>
              <w:rPr>
                <w:rFonts w:hint="default"/>
                <w:vertAlign w:val="baseline"/>
                <w:lang w:val="en-US" w:eastAsia="zh-CN"/>
              </w:rPr>
            </w:pPr>
          </w:p>
        </w:tc>
        <w:tc>
          <w:tcPr>
            <w:tcW w:w="1574" w:type="dxa"/>
          </w:tcPr>
          <w:p>
            <w:pPr>
              <w:rPr>
                <w:rFonts w:hint="default"/>
                <w:vertAlign w:val="baseline"/>
                <w:lang w:val="en-US" w:eastAsia="zh-CN"/>
              </w:rPr>
            </w:pPr>
          </w:p>
        </w:tc>
        <w:tc>
          <w:tcPr>
            <w:tcW w:w="157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75" w:type="dxa"/>
          </w:tcPr>
          <w:p>
            <w:pPr>
              <w:rPr>
                <w:rFonts w:hint="default"/>
                <w:vertAlign w:val="baseline"/>
                <w:lang w:val="en-US" w:eastAsia="zh-CN"/>
              </w:rPr>
            </w:pPr>
          </w:p>
        </w:tc>
        <w:tc>
          <w:tcPr>
            <w:tcW w:w="1764" w:type="dxa"/>
          </w:tcPr>
          <w:p>
            <w:pPr>
              <w:rPr>
                <w:rFonts w:hint="default"/>
                <w:vertAlign w:val="baseline"/>
                <w:lang w:val="en-US" w:eastAsia="zh-CN"/>
              </w:rPr>
            </w:pPr>
          </w:p>
        </w:tc>
        <w:tc>
          <w:tcPr>
            <w:tcW w:w="1656" w:type="dxa"/>
          </w:tcPr>
          <w:p>
            <w:pPr>
              <w:rPr>
                <w:rFonts w:hint="default"/>
                <w:vertAlign w:val="baseline"/>
                <w:lang w:val="en-US" w:eastAsia="zh-CN"/>
              </w:rPr>
            </w:pPr>
          </w:p>
        </w:tc>
        <w:tc>
          <w:tcPr>
            <w:tcW w:w="1454" w:type="dxa"/>
          </w:tcPr>
          <w:p>
            <w:pPr>
              <w:rPr>
                <w:rFonts w:hint="default"/>
                <w:vertAlign w:val="baseline"/>
                <w:lang w:val="en-US" w:eastAsia="zh-CN"/>
              </w:rPr>
            </w:pPr>
          </w:p>
        </w:tc>
        <w:tc>
          <w:tcPr>
            <w:tcW w:w="1574" w:type="dxa"/>
          </w:tcPr>
          <w:p>
            <w:pPr>
              <w:rPr>
                <w:rFonts w:hint="default"/>
                <w:vertAlign w:val="baseline"/>
                <w:lang w:val="en-US" w:eastAsia="zh-CN"/>
              </w:rPr>
            </w:pPr>
          </w:p>
        </w:tc>
        <w:tc>
          <w:tcPr>
            <w:tcW w:w="157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75" w:type="dxa"/>
          </w:tcPr>
          <w:p>
            <w:pPr>
              <w:rPr>
                <w:rFonts w:hint="default"/>
                <w:vertAlign w:val="baseline"/>
                <w:lang w:val="en-US" w:eastAsia="zh-CN"/>
              </w:rPr>
            </w:pPr>
          </w:p>
        </w:tc>
        <w:tc>
          <w:tcPr>
            <w:tcW w:w="1764" w:type="dxa"/>
          </w:tcPr>
          <w:p>
            <w:pPr>
              <w:rPr>
                <w:rFonts w:hint="default"/>
                <w:vertAlign w:val="baseline"/>
                <w:lang w:val="en-US" w:eastAsia="zh-CN"/>
              </w:rPr>
            </w:pPr>
          </w:p>
        </w:tc>
        <w:tc>
          <w:tcPr>
            <w:tcW w:w="1656" w:type="dxa"/>
          </w:tcPr>
          <w:p>
            <w:pPr>
              <w:rPr>
                <w:rFonts w:hint="default"/>
                <w:vertAlign w:val="baseline"/>
                <w:lang w:val="en-US" w:eastAsia="zh-CN"/>
              </w:rPr>
            </w:pPr>
          </w:p>
        </w:tc>
        <w:tc>
          <w:tcPr>
            <w:tcW w:w="1454" w:type="dxa"/>
          </w:tcPr>
          <w:p>
            <w:pPr>
              <w:rPr>
                <w:rFonts w:hint="default"/>
                <w:vertAlign w:val="baseline"/>
                <w:lang w:val="en-US" w:eastAsia="zh-CN"/>
              </w:rPr>
            </w:pPr>
          </w:p>
        </w:tc>
        <w:tc>
          <w:tcPr>
            <w:tcW w:w="1574" w:type="dxa"/>
          </w:tcPr>
          <w:p>
            <w:pPr>
              <w:rPr>
                <w:rFonts w:hint="default"/>
                <w:vertAlign w:val="baseline"/>
                <w:lang w:val="en-US" w:eastAsia="zh-CN"/>
              </w:rPr>
            </w:pPr>
          </w:p>
        </w:tc>
        <w:tc>
          <w:tcPr>
            <w:tcW w:w="157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75" w:type="dxa"/>
          </w:tcPr>
          <w:p>
            <w:pPr>
              <w:rPr>
                <w:rFonts w:hint="default"/>
                <w:vertAlign w:val="baseline"/>
                <w:lang w:val="en-US" w:eastAsia="zh-CN"/>
              </w:rPr>
            </w:pPr>
          </w:p>
        </w:tc>
        <w:tc>
          <w:tcPr>
            <w:tcW w:w="1764" w:type="dxa"/>
          </w:tcPr>
          <w:p>
            <w:pPr>
              <w:rPr>
                <w:rFonts w:hint="default"/>
                <w:vertAlign w:val="baseline"/>
                <w:lang w:val="en-US" w:eastAsia="zh-CN"/>
              </w:rPr>
            </w:pPr>
          </w:p>
        </w:tc>
        <w:tc>
          <w:tcPr>
            <w:tcW w:w="1656" w:type="dxa"/>
          </w:tcPr>
          <w:p>
            <w:pPr>
              <w:rPr>
                <w:rFonts w:hint="default"/>
                <w:vertAlign w:val="baseline"/>
                <w:lang w:val="en-US" w:eastAsia="zh-CN"/>
              </w:rPr>
            </w:pPr>
          </w:p>
        </w:tc>
        <w:tc>
          <w:tcPr>
            <w:tcW w:w="1454" w:type="dxa"/>
          </w:tcPr>
          <w:p>
            <w:pPr>
              <w:rPr>
                <w:rFonts w:hint="default"/>
                <w:vertAlign w:val="baseline"/>
                <w:lang w:val="en-US" w:eastAsia="zh-CN"/>
              </w:rPr>
            </w:pPr>
          </w:p>
        </w:tc>
        <w:tc>
          <w:tcPr>
            <w:tcW w:w="1574" w:type="dxa"/>
          </w:tcPr>
          <w:p>
            <w:pPr>
              <w:rPr>
                <w:rFonts w:hint="default"/>
                <w:vertAlign w:val="baseline"/>
                <w:lang w:val="en-US" w:eastAsia="zh-CN"/>
              </w:rPr>
            </w:pPr>
          </w:p>
        </w:tc>
        <w:tc>
          <w:tcPr>
            <w:tcW w:w="157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75" w:type="dxa"/>
          </w:tcPr>
          <w:p>
            <w:pPr>
              <w:rPr>
                <w:rFonts w:hint="default"/>
                <w:vertAlign w:val="baseline"/>
                <w:lang w:val="en-US" w:eastAsia="zh-CN"/>
              </w:rPr>
            </w:pPr>
          </w:p>
        </w:tc>
        <w:tc>
          <w:tcPr>
            <w:tcW w:w="1764" w:type="dxa"/>
          </w:tcPr>
          <w:p>
            <w:pPr>
              <w:rPr>
                <w:rFonts w:hint="default"/>
                <w:vertAlign w:val="baseline"/>
                <w:lang w:val="en-US" w:eastAsia="zh-CN"/>
              </w:rPr>
            </w:pPr>
          </w:p>
        </w:tc>
        <w:tc>
          <w:tcPr>
            <w:tcW w:w="1656" w:type="dxa"/>
          </w:tcPr>
          <w:p>
            <w:pPr>
              <w:rPr>
                <w:rFonts w:hint="default"/>
                <w:vertAlign w:val="baseline"/>
                <w:lang w:val="en-US" w:eastAsia="zh-CN"/>
              </w:rPr>
            </w:pPr>
          </w:p>
        </w:tc>
        <w:tc>
          <w:tcPr>
            <w:tcW w:w="1454" w:type="dxa"/>
          </w:tcPr>
          <w:p>
            <w:pPr>
              <w:rPr>
                <w:rFonts w:hint="default"/>
                <w:vertAlign w:val="baseline"/>
                <w:lang w:val="en-US" w:eastAsia="zh-CN"/>
              </w:rPr>
            </w:pPr>
          </w:p>
        </w:tc>
        <w:tc>
          <w:tcPr>
            <w:tcW w:w="1574" w:type="dxa"/>
          </w:tcPr>
          <w:p>
            <w:pPr>
              <w:rPr>
                <w:rFonts w:hint="default"/>
                <w:vertAlign w:val="baseline"/>
                <w:lang w:val="en-US" w:eastAsia="zh-CN"/>
              </w:rPr>
            </w:pPr>
          </w:p>
        </w:tc>
        <w:tc>
          <w:tcPr>
            <w:tcW w:w="1571" w:type="dxa"/>
          </w:tcPr>
          <w:p>
            <w:pPr>
              <w:rPr>
                <w:rFonts w:hint="default"/>
                <w:vertAlign w:val="baseline"/>
                <w:lang w:val="en-US" w:eastAsia="zh-CN"/>
              </w:rPr>
            </w:pPr>
          </w:p>
        </w:tc>
      </w:tr>
    </w:tbl>
    <w:p>
      <w:pPr>
        <w:jc w:val="center"/>
        <w:rPr>
          <w:rFonts w:hint="eastAsia" w:ascii="Times New Roman" w:hAnsi="Times New Roman" w:eastAsia="方正仿宋_GBK" w:cs="Times New Roman"/>
          <w:kern w:val="2"/>
          <w:sz w:val="32"/>
          <w:szCs w:val="32"/>
          <w:lang w:val="en-US" w:eastAsia="zh-CN" w:bidi="ar-SA"/>
        </w:rPr>
      </w:pPr>
    </w:p>
    <w:p>
      <w:pPr>
        <w:jc w:val="center"/>
        <w:rPr>
          <w:rFonts w:hint="eastAsia" w:ascii="方正仿宋_GBK" w:hAnsi="方正仿宋_GBK" w:eastAsia="方正仿宋_GBK" w:cs="方正仿宋_GBK"/>
          <w:color w:val="auto"/>
          <w:sz w:val="32"/>
          <w:szCs w:val="32"/>
          <w:lang w:val="en-US" w:eastAsia="zh-CN"/>
        </w:rPr>
      </w:pPr>
      <w:r>
        <w:rPr>
          <w:rFonts w:hint="eastAsia" w:ascii="方正小标宋_GBK" w:hAnsi="方正小标宋_GBK" w:eastAsia="方正小标宋_GBK" w:cs="方正小标宋_GBK"/>
          <w:kern w:val="2"/>
          <w:sz w:val="36"/>
          <w:szCs w:val="36"/>
          <w:lang w:val="en-US" w:eastAsia="zh-CN" w:bidi="ar-SA"/>
        </w:rPr>
        <w:t>2024</w:t>
      </w:r>
      <w:r>
        <w:rPr>
          <w:rFonts w:hint="eastAsia" w:ascii="方正小标宋_GBK" w:hAnsi="方正小标宋_GBK" w:eastAsia="方正小标宋_GBK" w:cs="方正小标宋_GBK"/>
          <w:color w:val="auto"/>
          <w:sz w:val="36"/>
          <w:szCs w:val="36"/>
          <w:lang w:val="en-US" w:eastAsia="zh-CN"/>
        </w:rPr>
        <w:t>年数智产业园职工食堂食材供应商报价明细表</w:t>
      </w:r>
    </w:p>
    <w:p>
      <w:pPr>
        <w:spacing w:line="240" w:lineRule="auto"/>
        <w:jc w:val="both"/>
        <w:rPr>
          <w:rFonts w:hint="eastAsia" w:ascii="方正仿宋_GBK" w:hAnsi="Times New Roman" w:eastAsia="方正仿宋_GBK" w:cs="Times New Roman"/>
          <w:kern w:val="2"/>
          <w:sz w:val="28"/>
          <w:szCs w:val="28"/>
          <w:lang w:val="en-US" w:eastAsia="zh-CN" w:bidi="ar-SA"/>
        </w:rPr>
      </w:pPr>
    </w:p>
    <w:p>
      <w:pPr>
        <w:spacing w:line="240" w:lineRule="auto"/>
        <w:jc w:val="both"/>
        <w:rPr>
          <w:rFonts w:hint="eastAsia" w:ascii="方正仿宋_GBK"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 xml:space="preserve">   填表备注：</w:t>
      </w:r>
      <w:r>
        <w:rPr>
          <w:rFonts w:hint="eastAsia" w:ascii="Times New Roman" w:hAnsi="Times New Roman" w:eastAsia="方正仿宋_GBK" w:cs="Times New Roman"/>
          <w:kern w:val="2"/>
          <w:sz w:val="32"/>
          <w:szCs w:val="32"/>
          <w:lang w:val="en-US" w:eastAsia="zh-CN" w:bidi="ar-SA"/>
        </w:rPr>
        <w:t>1.</w:t>
      </w:r>
      <w:r>
        <w:rPr>
          <w:rFonts w:hint="eastAsia" w:ascii="方正仿宋_GBK" w:hAnsi="Times New Roman" w:eastAsia="方正仿宋_GBK" w:cs="Times New Roman"/>
          <w:kern w:val="2"/>
          <w:sz w:val="28"/>
          <w:szCs w:val="28"/>
          <w:lang w:val="en-US" w:eastAsia="zh-CN" w:bidi="ar-SA"/>
        </w:rPr>
        <w:t>请按照百分比格式填写折扣；</w:t>
      </w:r>
    </w:p>
    <w:p>
      <w:pPr>
        <w:pStyle w:val="2"/>
        <w:ind w:left="1960" w:hanging="1960" w:hangingChars="700"/>
        <w:rPr>
          <w:rFonts w:hint="default" w:ascii="方正仿宋_GBK"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2.</w:t>
      </w:r>
      <w:r>
        <w:rPr>
          <w:rFonts w:hint="eastAsia" w:ascii="方正仿宋_GBK" w:hAnsi="Times New Roman" w:eastAsia="方正仿宋_GBK" w:cs="Times New Roman"/>
          <w:kern w:val="2"/>
          <w:sz w:val="28"/>
          <w:szCs w:val="28"/>
          <w:lang w:val="en-US" w:eastAsia="zh-CN" w:bidi="ar-SA"/>
        </w:rPr>
        <w:t>综合折扣=（</w:t>
      </w:r>
      <w:r>
        <w:rPr>
          <w:rFonts w:hint="default" w:ascii="方正仿宋_GBK" w:hAnsi="Times New Roman" w:eastAsia="方正仿宋_GBK" w:cs="Times New Roman"/>
          <w:kern w:val="2"/>
          <w:sz w:val="28"/>
          <w:szCs w:val="28"/>
          <w:lang w:val="en-US" w:eastAsia="zh-CN" w:bidi="ar-SA"/>
        </w:rPr>
        <w:t>蔬菜类</w:t>
      </w:r>
      <w:r>
        <w:rPr>
          <w:rFonts w:hint="eastAsia" w:ascii="方正仿宋_GBK" w:hAnsi="Times New Roman" w:eastAsia="方正仿宋_GBK" w:cs="Times New Roman"/>
          <w:kern w:val="2"/>
          <w:sz w:val="28"/>
          <w:szCs w:val="28"/>
          <w:lang w:val="en-US" w:eastAsia="zh-CN" w:bidi="ar-SA"/>
        </w:rPr>
        <w:t>折扣+</w:t>
      </w:r>
      <w:r>
        <w:rPr>
          <w:rFonts w:hint="default" w:ascii="方正仿宋_GBK" w:hAnsi="Times New Roman" w:eastAsia="方正仿宋_GBK" w:cs="Times New Roman"/>
          <w:kern w:val="2"/>
          <w:sz w:val="28"/>
          <w:szCs w:val="28"/>
          <w:lang w:val="en-US" w:eastAsia="zh-CN" w:bidi="ar-SA"/>
        </w:rPr>
        <w:t>水果类</w:t>
      </w:r>
      <w:r>
        <w:rPr>
          <w:rFonts w:hint="eastAsia" w:ascii="方正仿宋_GBK" w:hAnsi="Times New Roman" w:eastAsia="方正仿宋_GBK" w:cs="Times New Roman"/>
          <w:kern w:val="2"/>
          <w:sz w:val="28"/>
          <w:szCs w:val="28"/>
          <w:lang w:val="en-US" w:eastAsia="zh-CN" w:bidi="ar-SA"/>
        </w:rPr>
        <w:t>折扣+</w:t>
      </w:r>
      <w:r>
        <w:rPr>
          <w:rFonts w:hint="eastAsia" w:ascii="方正仿宋_GBK" w:eastAsia="方正仿宋_GBK"/>
          <w:kern w:val="2"/>
          <w:sz w:val="28"/>
          <w:szCs w:val="28"/>
          <w:lang w:val="en-US" w:eastAsia="zh-CN" w:bidi="ar-SA"/>
        </w:rPr>
        <w:t>米面油类</w:t>
      </w:r>
      <w:r>
        <w:rPr>
          <w:rFonts w:hint="eastAsia" w:ascii="方正仿宋_GBK" w:hAnsi="Times New Roman" w:eastAsia="方正仿宋_GBK" w:cs="Times New Roman"/>
          <w:kern w:val="2"/>
          <w:sz w:val="28"/>
          <w:szCs w:val="28"/>
          <w:lang w:val="en-US" w:eastAsia="zh-CN" w:bidi="ar-SA"/>
        </w:rPr>
        <w:t>折扣+</w:t>
      </w:r>
      <w:r>
        <w:rPr>
          <w:rFonts w:hint="eastAsia" w:ascii="方正仿宋_GBK" w:eastAsia="方正仿宋_GBK"/>
          <w:kern w:val="2"/>
          <w:sz w:val="28"/>
          <w:szCs w:val="28"/>
          <w:lang w:val="en-US" w:eastAsia="zh-CN" w:bidi="ar-SA"/>
        </w:rPr>
        <w:t>鲜肉类</w:t>
      </w:r>
      <w:r>
        <w:rPr>
          <w:rFonts w:hint="eastAsia" w:ascii="方正仿宋_GBK" w:hAnsi="Times New Roman" w:eastAsia="方正仿宋_GBK" w:cs="Times New Roman"/>
          <w:kern w:val="2"/>
          <w:sz w:val="28"/>
          <w:szCs w:val="28"/>
          <w:lang w:val="en-US" w:eastAsia="zh-CN" w:bidi="ar-SA"/>
        </w:rPr>
        <w:t>折扣）÷4。</w:t>
      </w:r>
    </w:p>
    <w:p>
      <w:pPr>
        <w:spacing w:line="240" w:lineRule="auto"/>
        <w:jc w:val="both"/>
        <w:rPr>
          <w:rFonts w:hint="default" w:ascii="方正仿宋_GBK" w:hAnsi="Times New Roman" w:eastAsia="方正仿宋_GBK" w:cs="Times New Roman"/>
          <w:kern w:val="2"/>
          <w:sz w:val="28"/>
          <w:szCs w:val="28"/>
          <w:lang w:val="en-US" w:eastAsia="zh-CN" w:bidi="ar-SA"/>
        </w:rPr>
      </w:pPr>
    </w:p>
    <w:p>
      <w:pPr>
        <w:bidi w:val="0"/>
        <w:rPr>
          <w:rFonts w:hint="default"/>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供应商（签章）：</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2"/>
        <w:ind w:firstLine="3840" w:firstLineChars="1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报价时间：</w:t>
      </w: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jc w:val="both"/>
                    </w:pPr>
                  </w:p>
                </w:txbxContent>
              </v:textbox>
            </v:shape>
          </w:pict>
        </mc:Fallback>
      </mc:AlternateContent>
    </w:r>
  </w:p>
  <w:p>
    <w:pPr>
      <w:pStyle w:val="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FEEB0"/>
    <w:multiLevelType w:val="singleLevel"/>
    <w:tmpl w:val="7D3FEE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0293BE4"/>
    <w:rsid w:val="00B428DB"/>
    <w:rsid w:val="01181ED9"/>
    <w:rsid w:val="04E1547F"/>
    <w:rsid w:val="07E14BEE"/>
    <w:rsid w:val="08875CD0"/>
    <w:rsid w:val="08FF38E0"/>
    <w:rsid w:val="094B3E03"/>
    <w:rsid w:val="0FC14079"/>
    <w:rsid w:val="13880FC2"/>
    <w:rsid w:val="138E7CB8"/>
    <w:rsid w:val="186A4B78"/>
    <w:rsid w:val="1B046610"/>
    <w:rsid w:val="1C4A7321"/>
    <w:rsid w:val="1DE50DD8"/>
    <w:rsid w:val="1EA75133"/>
    <w:rsid w:val="1FE67B91"/>
    <w:rsid w:val="21FC79E5"/>
    <w:rsid w:val="222B2AC6"/>
    <w:rsid w:val="27BE06EC"/>
    <w:rsid w:val="2A761A67"/>
    <w:rsid w:val="2CCE1914"/>
    <w:rsid w:val="2F8674A3"/>
    <w:rsid w:val="31224EE2"/>
    <w:rsid w:val="32CF5EE1"/>
    <w:rsid w:val="33A86390"/>
    <w:rsid w:val="353A6D29"/>
    <w:rsid w:val="355C5CE8"/>
    <w:rsid w:val="36BD3FCC"/>
    <w:rsid w:val="395C03A7"/>
    <w:rsid w:val="3AB530D2"/>
    <w:rsid w:val="3DE2579B"/>
    <w:rsid w:val="41B46202"/>
    <w:rsid w:val="43B7669F"/>
    <w:rsid w:val="45F9033C"/>
    <w:rsid w:val="46A169D1"/>
    <w:rsid w:val="48AD6F3C"/>
    <w:rsid w:val="4BA435B8"/>
    <w:rsid w:val="4D102B17"/>
    <w:rsid w:val="4D454363"/>
    <w:rsid w:val="4E412773"/>
    <w:rsid w:val="50FD6FF1"/>
    <w:rsid w:val="53704420"/>
    <w:rsid w:val="5605358D"/>
    <w:rsid w:val="5954074B"/>
    <w:rsid w:val="5DC3720D"/>
    <w:rsid w:val="5E211B12"/>
    <w:rsid w:val="5E264B40"/>
    <w:rsid w:val="5FDC7B18"/>
    <w:rsid w:val="6034553D"/>
    <w:rsid w:val="60E0072E"/>
    <w:rsid w:val="60FA2B16"/>
    <w:rsid w:val="669F7C45"/>
    <w:rsid w:val="6D284854"/>
    <w:rsid w:val="6E9F07BB"/>
    <w:rsid w:val="79AB074B"/>
    <w:rsid w:val="7B2F0C84"/>
    <w:rsid w:val="7C1F7B2E"/>
    <w:rsid w:val="7EB7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index 7"/>
    <w:basedOn w:val="1"/>
    <w:next w:val="1"/>
    <w:qFormat/>
    <w:uiPriority w:val="0"/>
    <w:pPr>
      <w:ind w:left="1200" w:leftChars="1200"/>
    </w:pPr>
  </w:style>
  <w:style w:type="paragraph" w:styleId="6">
    <w:name w:val="toa heading"/>
    <w:basedOn w:val="1"/>
    <w:next w:val="1"/>
    <w:unhideWhenUsed/>
    <w:qFormat/>
    <w:uiPriority w:val="99"/>
    <w:pPr>
      <w:spacing w:before="120"/>
    </w:pPr>
    <w:rPr>
      <w:rFonts w:ascii="Arial" w:hAnsi="Arial"/>
      <w:sz w:val="24"/>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rFonts w:ascii="Calibri" w:hAnsi="Calibri"/>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2024-01-25T07:55:00Z</cp:lastPrinted>
  <dcterms:modified xsi:type="dcterms:W3CDTF">2024-01-26T07:17:11Z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0F1C64FD1B6E45C5BEF4F00C8CB83DD9_13</vt:lpwstr>
  </property>
</Properties>
</file>